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State/Local Chapter Procedures and Guidelines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 new chapter application must be completed and filed with NPhA Headquarters.  A new </w:t>
      </w:r>
      <w:r>
        <w:rPr>
          <w:rStyle w:val="Character0"/>
          <w:sz w:val="22"/>
          <w:szCs w:val="22"/>
        </w:rPr>
        <w:t xml:space="preserve">Chapter application fee is $25.  Chapters will be required to renew the chapter application every </w:t>
      </w:r>
      <w:r>
        <w:rPr>
          <w:rStyle w:val="Character0"/>
          <w:sz w:val="22"/>
          <w:szCs w:val="22"/>
        </w:rPr>
        <w:t xml:space="preserve">two (2) years.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 You must have at least four (4) members to charter a new chapter.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Each chapter shall have a specified organizational structure with designated officers (at a </w:t>
      </w:r>
      <w:r>
        <w:rPr>
          <w:rStyle w:val="Character0"/>
          <w:sz w:val="22"/>
          <w:szCs w:val="22"/>
        </w:rPr>
        <w:t xml:space="preserve">minimum: President, Secretary, Treasurer).  All local officers should be in good standing (i.e. </w:t>
      </w:r>
      <w:r>
        <w:rPr>
          <w:rStyle w:val="Character0"/>
          <w:sz w:val="22"/>
          <w:szCs w:val="22"/>
        </w:rPr>
        <w:t xml:space="preserve">financially active) with NPhA.    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NPhA Chapters must pay an annual chapter assessment fee of $195 to NPhA Headquarters.  </w:t>
      </w:r>
      <w:r>
        <w:rPr>
          <w:rStyle w:val="Character0"/>
          <w:sz w:val="22"/>
          <w:szCs w:val="22"/>
        </w:rPr>
        <w:t xml:space="preserve">Chapters may exercise the option of assessing chapter dues, amount to be determined by each </w:t>
      </w:r>
      <w:r>
        <w:rPr>
          <w:rStyle w:val="Character0"/>
          <w:sz w:val="22"/>
          <w:szCs w:val="22"/>
        </w:rPr>
        <w:t xml:space="preserve">chapter.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All chapters must maintain regular communications with the Zone Director for their region, </w:t>
      </w:r>
      <w:r>
        <w:rPr>
          <w:rStyle w:val="Character0"/>
          <w:sz w:val="22"/>
          <w:szCs w:val="22"/>
        </w:rPr>
        <w:t xml:space="preserve">submitting reports at least quarterly.  The Zone Directors, in turn, will be responsible for </w:t>
      </w:r>
      <w:r>
        <w:rPr>
          <w:rStyle w:val="Character0"/>
          <w:sz w:val="22"/>
          <w:szCs w:val="22"/>
        </w:rPr>
        <w:t xml:space="preserve">submitting chapter reports to NPhA Headquarters. 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Each chapter shall develop Chapter Bylaws.  Chapter Bylaws must be on file at NPhA </w:t>
      </w:r>
      <w:r>
        <w:rPr>
          <w:rStyle w:val="Character0"/>
          <w:sz w:val="22"/>
          <w:szCs w:val="22"/>
        </w:rPr>
        <w:t xml:space="preserve">Headquarters.  Chapters are responsible for upholding the NPhA Constitution and Bylaws.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All chapters are responsible for purchasing liability insurance. 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The chapter’s name must be approved by NPhA headquarters.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Chapters may develop their own logos.  However, the NPhA logo must be included on all printed </w:t>
      </w:r>
      <w:r>
        <w:rPr>
          <w:rStyle w:val="Character0"/>
          <w:sz w:val="22"/>
          <w:szCs w:val="22"/>
        </w:rPr>
        <w:t xml:space="preserve">material. 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Chapters are to inform headquarters before they apply for a Federal tax ID number and or </w:t>
      </w:r>
      <w:r>
        <w:rPr>
          <w:rStyle w:val="Character0"/>
          <w:sz w:val="22"/>
          <w:szCs w:val="22"/>
        </w:rPr>
        <w:t xml:space="preserve">incorporated status.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All CE programs that are conducted through NPhA should be approved at least 90 days before </w:t>
      </w:r>
      <w:r>
        <w:rPr>
          <w:rStyle w:val="Character0"/>
          <w:sz w:val="22"/>
          <w:szCs w:val="22"/>
        </w:rPr>
        <w:t xml:space="preserve">the date of the program to allow sufficient time for CE # to be issued.  </w:t>
      </w:r>
    </w:p>
    <w:p>
      <w:pPr>
        <w:pStyle w:val="a3"/>
        <w:numPr>
          <w:ilvl w:val="0"/>
          <w:numId w:val="1"/>
        </w:numPr>
        <w:jc w:val="left"/>
        <w:spacing w:line="276" w:lineRule="auto"/>
        <w:ind w:left="72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Mail the following (in the same package) to National Headquarters: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80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New Chapter Application</w:t>
      </w:r>
    </w:p>
    <w:p>
      <w:pPr>
        <w:pStyle w:val="a3"/>
        <w:numPr>
          <w:ilvl w:val="0"/>
          <w:numId w:val="2"/>
        </w:numPr>
        <w:jc w:val="left"/>
        <w:spacing w:line="276" w:lineRule="auto"/>
        <w:ind w:left="180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Chapter Registration Form</w:t>
      </w:r>
      <w:bookmarkStart w:id="1" w:name="_GoBack"/>
      <w:bookmarkEnd w:id="1"/>
    </w:p>
    <w:p>
      <w:pPr>
        <w:pStyle w:val="a3"/>
        <w:numPr>
          <w:ilvl w:val="0"/>
          <w:numId w:val="2"/>
        </w:numPr>
        <w:jc w:val="left"/>
        <w:spacing w:line="276" w:lineRule="auto"/>
        <w:ind w:left="1800" w:hanging="360"/>
        <w:rPr>
          <w:sz w:val="22"/>
          <w:szCs w:val="22"/>
        </w:rPr>
      </w:pPr>
      <w:r>
        <w:rPr>
          <w:rStyle w:val="Character0"/>
          <w:sz w:val="22"/>
          <w:szCs w:val="22"/>
        </w:rPr>
        <w:t xml:space="preserve">Copy of Chapter’s Approved Bylaws</w:t>
      </w:r>
    </w:p>
    <w:p>
      <w:pPr>
        <w:pStyle w:val="Para4"/>
        <w:spacing w:line="276" w:lineRule="auto"/>
        <w:ind w:left="1440" w:firstLine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-      Chapter Fee (check or money order)  </w:t>
      </w:r>
    </w:p>
    <w:p>
      <w:pPr>
        <w:pStyle w:val="Para0"/>
        <w:spacing w:line="276" w:lineRule="auto" w:after="20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 xml:space="preserve">Please make copies of all documents and payments prior to submission to NPhA Headquarters.  Chapters </w:t>
      </w:r>
      <w:r>
        <w:rPr>
          <w:rStyle w:val="Character0"/>
          <w:sz w:val="22"/>
          <w:szCs w:val="22"/>
        </w:rPr>
        <w:t xml:space="preserve">and members will receive the appropriate membership information from National Headquarters within 4</w:t>
      </w:r>
      <w:r>
        <w:rPr>
          <w:rStyle w:val="Character0"/>
          <w:sz w:val="22"/>
          <w:szCs w:val="22"/>
        </w:rPr>
        <w:t xml:space="preserve">-6 weeks after materials have been received.</w:t>
      </w:r>
    </w:p>
    <w:sectPr>
      <w:pgSz w:w="12240" w:h="15840" w:orient="landscape" w:code="9"/>
      <w:pgMar w:top="1440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 Black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68197213"/>
    <w:lvl w:ilvl="0">
      <w:start w:val="1"/>
      <w:numFmt w:val="decimal"/>
      <w:lvlText w:val="%1."/>
      <w:pPr>
        <w:ind w:left="720" w:hanging="360"/>
      </w:pPr>
      <w:rPr>
        <w:rFonts w:ascii="Calibri" w:eastAsia="Calibri" w:hAnsi="Calibri" w:hint="default"/>
      </w:rPr>
    </w:lvl>
    <w:lvl w:ilvl="1">
      <w:start w:val="1"/>
      <w:numFmt w:val="decimal"/>
      <w:lvlText w:val="%2."/>
      <w:pPr>
        <w:ind w:left="1440" w:hanging="360"/>
      </w:pPr>
      <w:rPr>
        <w:rFonts w:ascii="Calibri" w:eastAsia="Calibri" w:hAnsi="Calibri" w:hint="default"/>
      </w:rPr>
    </w:lvl>
    <w:lvl w:ilvl="2">
      <w:start w:val="1"/>
      <w:numFmt w:val="decimal"/>
      <w:lvlText w:val="%3."/>
      <w:pPr>
        <w:ind w:left="2160" w:hanging="180"/>
      </w:pPr>
      <w:rPr>
        <w:rFonts w:ascii="Calibri" w:eastAsia="Calibri" w:hAnsi="Calibri" w:hint="default"/>
      </w:rPr>
    </w:lvl>
    <w:lvl w:ilvl="3">
      <w:start w:val="1"/>
      <w:numFmt w:val="decimal"/>
      <w:lvlText w:val="%4."/>
      <w:pPr>
        <w:ind w:left="2880" w:hanging="360"/>
      </w:pPr>
      <w:rPr>
        <w:rFonts w:ascii="Calibri" w:eastAsia="Calibri" w:hAnsi="Calibri" w:hint="default"/>
      </w:rPr>
    </w:lvl>
    <w:lvl w:ilvl="4">
      <w:start w:val="1"/>
      <w:numFmt w:val="decimal"/>
      <w:lvlText w:val="%5."/>
      <w:pPr>
        <w:ind w:left="3600" w:hanging="360"/>
      </w:pPr>
      <w:rPr>
        <w:rFonts w:ascii="Calibri" w:eastAsia="Calibri" w:hAnsi="Calibri" w:hint="default"/>
      </w:rPr>
    </w:lvl>
    <w:lvl w:ilvl="5">
      <w:start w:val="1"/>
      <w:numFmt w:val="decimal"/>
      <w:lvlText w:val="%6."/>
      <w:pPr>
        <w:ind w:left="4320" w:hanging="180"/>
      </w:pPr>
      <w:rPr>
        <w:rFonts w:ascii="Calibri" w:eastAsia="Calibri" w:hAnsi="Calibri" w:hint="default"/>
      </w:rPr>
    </w:lvl>
    <w:lvl w:ilvl="6">
      <w:start w:val="1"/>
      <w:numFmt w:val="decimal"/>
      <w:lvlText w:val="%7."/>
      <w:pPr>
        <w:ind w:left="5040" w:hanging="360"/>
      </w:pPr>
      <w:rPr>
        <w:rFonts w:ascii="Calibri" w:eastAsia="Calibri" w:hAnsi="Calibri" w:hint="default"/>
      </w:rPr>
    </w:lvl>
    <w:lvl w:ilvl="7">
      <w:start w:val="1"/>
      <w:numFmt w:val="decimal"/>
      <w:lvlText w:val="%8."/>
      <w:pPr>
        <w:ind w:left="5760" w:hanging="360"/>
      </w:pPr>
      <w:rPr>
        <w:rFonts w:ascii="Calibri" w:eastAsia="Calibri" w:hAnsi="Calibri" w:hint="default"/>
      </w:rPr>
    </w:lvl>
    <w:lvl w:ilvl="8">
      <w:start w:val="1"/>
      <w:numFmt w:val="decimal"/>
      <w:lvlText w:val="%9."/>
      <w:pPr>
        <w:ind w:left="6480" w:hanging="180"/>
      </w:pPr>
      <w:rPr>
        <w:rFonts w:ascii="Calibri" w:eastAsia="Calibri" w:hAnsi="Calibri" w:hint="default"/>
      </w:rPr>
    </w:lvl>
  </w:abstractNum>
  <w:abstractNum w:abstractNumId="1">
    <w:nsid w:val="1"/>
    <w:multiLevelType w:val="hybridMultilevel"/>
    <w:tmpl w:val="1130395403"/>
    <w:lvl w:ilvl="0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1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2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3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4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5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6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7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  <w:lvl w:ilvl="8">
      <w:start w:val="0"/>
      <w:numFmt w:val="bullet"/>
      <w:lvlText w:val=""/>
      <w:pPr>
        <w:ind w:left="1800" w:hanging="360"/>
      </w:pPr>
      <w:rPr>
        <w:rFonts w:ascii="Calibri" w:eastAsia="Calibri" w:hAnsi="Calibri" w:hint="default"/>
      </w:rPr>
      <w:rPr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200"/>
      <w:jc w:val="left"/>
      <w:wordWrap w:val="false"/>
      <w:ind w:left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720" w:hanging="36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1800" w:hanging="36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1440" w:firstLine="0"/>
      <w:widowControl w:val="false"/>
      <w:rPr/>
    </w:pPr>
  </w:style>
  <w:style w:type="character" w:customStyle="1" w:styleId="Character0">
    <w:name w:val="CharAttribute0"/>
    <w:rPr>
      <w:rFonts w:ascii="Calibri" w:eastAsia="Calibri"/>
      <w:sz w:val="22"/>
    </w:rPr>
  </w:style>
  <w:style w:type="character" w:customStyle="1" w:styleId="Character1">
    <w:name w:val="CharAttribute1"/>
    <w:rPr>
      <w:rFonts w:ascii="Calibri" w:eastAsia="Calibri"/>
      <w:sz w:val="22"/>
    </w:rPr>
  </w:style>
  <w:style w:type="character" w:customStyle="1" w:styleId="Character2">
    <w:name w:val="CharAttribute2"/>
    <w:rPr>
      <w:rFonts w:ascii="Calibri" w:eastAsia="Calibri"/>
      <w:sz w:val="22"/>
    </w:rPr>
  </w:style>
  <w:style w:type="character" w:customStyle="1" w:styleId="Character3">
    <w:name w:val="CharAttribute3"/>
    <w:rPr>
      <w:rFonts w:ascii="Calibri" w:eastAsia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